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7BDBFF21"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38567E">
        <w:t>20</w:t>
      </w:r>
      <w:r w:rsidR="005420B4" w:rsidRPr="00893890">
        <w:t>.</w:t>
      </w:r>
      <w:r w:rsidR="00296EFF">
        <w:t xml:space="preserve"> </w:t>
      </w:r>
      <w:r w:rsidR="000D6329">
        <w:t>května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6D2C99DF" w14:textId="77777777" w:rsidR="00776D13" w:rsidRPr="000A0674" w:rsidRDefault="00343CFF" w:rsidP="00776D13">
      <w:pPr>
        <w:rPr>
          <w:b/>
          <w:bCs/>
        </w:rPr>
      </w:pPr>
      <w:proofErr w:type="spellStart"/>
      <w:r>
        <w:rPr>
          <w:rStyle w:val="normaltextrun"/>
          <w:b/>
          <w:bCs/>
          <w:color w:val="000000"/>
          <w:sz w:val="28"/>
          <w:szCs w:val="28"/>
        </w:rPr>
        <w:t>Fidelity</w:t>
      </w:r>
      <w:proofErr w:type="spellEnd"/>
      <w:r>
        <w:rPr>
          <w:rStyle w:val="normaltextrun"/>
          <w:b/>
          <w:bCs/>
          <w:color w:val="000000"/>
          <w:sz w:val="28"/>
          <w:szCs w:val="28"/>
        </w:rPr>
        <w:t xml:space="preserve"> Internatio</w:t>
      </w:r>
      <w:r w:rsidRPr="00776D13">
        <w:rPr>
          <w:rStyle w:val="normaltextrun"/>
          <w:b/>
          <w:bCs/>
          <w:color w:val="000000"/>
          <w:sz w:val="28"/>
          <w:szCs w:val="28"/>
        </w:rPr>
        <w:t>nal</w:t>
      </w:r>
      <w:r w:rsidR="005F4989" w:rsidRPr="00776D13">
        <w:rPr>
          <w:rStyle w:val="normaltextrun"/>
          <w:b/>
          <w:bCs/>
          <w:color w:val="000000"/>
          <w:sz w:val="28"/>
          <w:szCs w:val="28"/>
        </w:rPr>
        <w:t xml:space="preserve">: </w:t>
      </w:r>
      <w:r w:rsidR="00776D13" w:rsidRPr="00776D13">
        <w:rPr>
          <w:rStyle w:val="normaltextrun"/>
          <w:b/>
          <w:bCs/>
          <w:color w:val="000000"/>
          <w:sz w:val="28"/>
          <w:szCs w:val="28"/>
        </w:rPr>
        <w:t>Investoři do ETF opatrně reagují na celní konflikt</w:t>
      </w:r>
      <w:r w:rsidR="00776D13" w:rsidRPr="00776D13">
        <w:rPr>
          <w:b/>
          <w:bCs/>
        </w:rPr>
        <w:t xml:space="preserve"> </w:t>
      </w:r>
    </w:p>
    <w:p w14:paraId="75349DD5" w14:textId="631800F6" w:rsidR="004D79D4" w:rsidRDefault="004D79D4"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
    <w:p w14:paraId="791844CE" w14:textId="6D6C0D4E" w:rsidR="00BB79D6" w:rsidRPr="00BB79D6" w:rsidRDefault="00BB79D6" w:rsidP="00BB79D6">
      <w:pPr>
        <w:rPr>
          <w:b/>
          <w:bCs/>
        </w:rPr>
      </w:pPr>
      <w:r w:rsidRPr="00BB79D6">
        <w:rPr>
          <w:b/>
          <w:bCs/>
        </w:rPr>
        <w:t xml:space="preserve">Evropský trh s UCITS ETF v dubnu pokračoval </w:t>
      </w:r>
      <w:r w:rsidR="00981A13">
        <w:rPr>
          <w:b/>
          <w:bCs/>
        </w:rPr>
        <w:t xml:space="preserve">v </w:t>
      </w:r>
      <w:r w:rsidRPr="00BB79D6">
        <w:rPr>
          <w:b/>
          <w:bCs/>
        </w:rPr>
        <w:t xml:space="preserve">obrácení trhu. Odklon od ETF zaměřených na severoamerické akcie, který začal v únoru, zesílil: </w:t>
      </w:r>
      <w:r w:rsidR="008E3B09">
        <w:rPr>
          <w:b/>
          <w:bCs/>
        </w:rPr>
        <w:t>z</w:t>
      </w:r>
      <w:r w:rsidRPr="00BB79D6">
        <w:rPr>
          <w:b/>
          <w:bCs/>
        </w:rPr>
        <w:t xml:space="preserve"> USA odteklo více než 1 400 milionů amerických dolarů, což pro tento region znamená už třetí měsíc záporných toků v řadě.</w:t>
      </w:r>
    </w:p>
    <w:p w14:paraId="00B7BE22" w14:textId="77777777" w:rsidR="007561D8" w:rsidRPr="007561D8" w:rsidRDefault="000D6329" w:rsidP="007561D8">
      <w:pPr>
        <w:rPr>
          <w:i/>
          <w:iCs/>
        </w:rPr>
      </w:pPr>
      <w:r w:rsidRPr="007561D8">
        <w:rPr>
          <w:i/>
          <w:iCs/>
        </w:rPr>
        <w:t>Auto</w:t>
      </w:r>
      <w:r w:rsidR="00E7464C" w:rsidRPr="007561D8">
        <w:rPr>
          <w:i/>
          <w:iCs/>
        </w:rPr>
        <w:t>r</w:t>
      </w:r>
      <w:r w:rsidRPr="007561D8">
        <w:rPr>
          <w:i/>
          <w:iCs/>
        </w:rPr>
        <w:t xml:space="preserve">: </w:t>
      </w:r>
      <w:proofErr w:type="spellStart"/>
      <w:r w:rsidR="007561D8" w:rsidRPr="007561D8">
        <w:rPr>
          <w:i/>
          <w:iCs/>
        </w:rPr>
        <w:t>Roxane</w:t>
      </w:r>
      <w:proofErr w:type="spellEnd"/>
      <w:r w:rsidR="007561D8" w:rsidRPr="007561D8">
        <w:rPr>
          <w:i/>
          <w:iCs/>
        </w:rPr>
        <w:t xml:space="preserve"> </w:t>
      </w:r>
      <w:proofErr w:type="spellStart"/>
      <w:r w:rsidR="007561D8" w:rsidRPr="007561D8">
        <w:rPr>
          <w:i/>
          <w:iCs/>
        </w:rPr>
        <w:t>Philibert</w:t>
      </w:r>
      <w:proofErr w:type="spellEnd"/>
      <w:r w:rsidR="007561D8" w:rsidRPr="007561D8">
        <w:rPr>
          <w:i/>
          <w:iCs/>
        </w:rPr>
        <w:t xml:space="preserve">, zástupkyně ředitele ETF ve </w:t>
      </w:r>
      <w:proofErr w:type="spellStart"/>
      <w:r w:rsidR="007561D8" w:rsidRPr="007561D8">
        <w:rPr>
          <w:i/>
          <w:iCs/>
        </w:rPr>
        <w:t>Fidelity</w:t>
      </w:r>
      <w:proofErr w:type="spellEnd"/>
      <w:r w:rsidR="007561D8" w:rsidRPr="007561D8">
        <w:rPr>
          <w:i/>
          <w:iCs/>
        </w:rPr>
        <w:t xml:space="preserve"> International</w:t>
      </w:r>
    </w:p>
    <w:p w14:paraId="02E758F7" w14:textId="6396B3D1" w:rsidR="005B1E37" w:rsidRDefault="005B1E37" w:rsidP="005B1E37">
      <w:r>
        <w:t xml:space="preserve">V oblasti akcií se jako hlavní příjemce ukázaly ty evropské, které přilákaly 9 miliard USD čistých nových aktiv: </w:t>
      </w:r>
      <w:r w:rsidRPr="0096273F">
        <w:rPr>
          <w:i/>
          <w:iCs/>
        </w:rPr>
        <w:t>"I když to ekonomická data ještě zcela neodrážejí, sentiment v současné době jasně favorizuje Evropu. V USA zůstávají investoři do ETF velmi skeptičtí,"</w:t>
      </w:r>
      <w:r>
        <w:t xml:space="preserve"> říká </w:t>
      </w:r>
      <w:proofErr w:type="spellStart"/>
      <w:r>
        <w:t>Roxane</w:t>
      </w:r>
      <w:proofErr w:type="spellEnd"/>
      <w:r>
        <w:t xml:space="preserve"> </w:t>
      </w:r>
      <w:proofErr w:type="spellStart"/>
      <w:r>
        <w:t>Philibert</w:t>
      </w:r>
      <w:proofErr w:type="spellEnd"/>
      <w:r>
        <w:t xml:space="preserve"> zastupující ředitelka ETF ve společnosti </w:t>
      </w:r>
      <w:proofErr w:type="spellStart"/>
      <w:r>
        <w:t>Fidelity</w:t>
      </w:r>
      <w:proofErr w:type="spellEnd"/>
      <w:r>
        <w:t xml:space="preserve"> International.</w:t>
      </w:r>
    </w:p>
    <w:p w14:paraId="004CAA7D" w14:textId="277D5409" w:rsidR="005B1E37" w:rsidRDefault="005B1E37" w:rsidP="005B1E37">
      <w:r>
        <w:t>Celkově vzrostl v dubnu trh s UCITS ETF o 19 miliard USD, což je pod průměrným tempem růstu</w:t>
      </w:r>
      <w:r w:rsidRPr="0096273F">
        <w:rPr>
          <w:i/>
          <w:iCs/>
        </w:rPr>
        <w:t>. „V uplynulém měsíci dominovaly obavám investorů probíhající diskuse o obchodních clech a jejich dopadech na globální hospodářský růst. Tato nejistota měla značný vliv na evropský trh ETF,"</w:t>
      </w:r>
      <w:r>
        <w:t xml:space="preserve"> říká </w:t>
      </w:r>
      <w:proofErr w:type="spellStart"/>
      <w:r>
        <w:t>Roxane</w:t>
      </w:r>
      <w:proofErr w:type="spellEnd"/>
      <w:r>
        <w:t xml:space="preserve"> </w:t>
      </w:r>
      <w:proofErr w:type="spellStart"/>
      <w:r>
        <w:t>Philibert</w:t>
      </w:r>
      <w:proofErr w:type="spellEnd"/>
      <w:r>
        <w:t xml:space="preserve">. Investoři reagovali opatrně a investovali výrazně méně než obvykle. </w:t>
      </w:r>
      <w:r w:rsidRPr="0096273F">
        <w:rPr>
          <w:i/>
          <w:iCs/>
        </w:rPr>
        <w:t>„Investoři si v tuto chvíli zaujímají vyčkávací přístup,"</w:t>
      </w:r>
      <w:r>
        <w:t xml:space="preserve"> říká </w:t>
      </w:r>
      <w:proofErr w:type="spellStart"/>
      <w:r>
        <w:t>Roxane</w:t>
      </w:r>
      <w:proofErr w:type="spellEnd"/>
      <w:r>
        <w:t xml:space="preserve"> </w:t>
      </w:r>
      <w:proofErr w:type="spellStart"/>
      <w:r>
        <w:t>Philibert</w:t>
      </w:r>
      <w:proofErr w:type="spellEnd"/>
      <w:r>
        <w:t>.</w:t>
      </w:r>
    </w:p>
    <w:p w14:paraId="166473DA" w14:textId="56EA7D87" w:rsidR="0075772C" w:rsidRPr="00E74B0F" w:rsidRDefault="0075772C" w:rsidP="0075772C">
      <w:pPr>
        <w:pStyle w:val="F2-zkladn"/>
        <w:rPr>
          <w:b/>
          <w:bCs/>
        </w:rPr>
      </w:pPr>
      <w:r w:rsidRPr="00E74B0F">
        <w:rPr>
          <w:b/>
          <w:bCs/>
        </w:rPr>
        <w:t xml:space="preserve">Obrázek č. 1.: </w:t>
      </w:r>
      <w:r w:rsidR="004D352B" w:rsidRPr="00E74B0F">
        <w:rPr>
          <w:b/>
          <w:bCs/>
        </w:rPr>
        <w:t>Čisté přítoky/odtoky UCITS ETF (v mil. USD)</w:t>
      </w:r>
    </w:p>
    <w:p w14:paraId="41B9E4E4" w14:textId="7CDE975B" w:rsidR="0075772C" w:rsidRDefault="00E74B0F" w:rsidP="0075772C">
      <w:pPr>
        <w:pStyle w:val="F2-zkladn"/>
      </w:pPr>
      <w:r w:rsidRPr="0075772C">
        <w:rPr>
          <w:noProof/>
        </w:rPr>
        <w:drawing>
          <wp:anchor distT="0" distB="0" distL="114300" distR="114300" simplePos="0" relativeHeight="251658240" behindDoc="1" locked="0" layoutInCell="1" allowOverlap="1" wp14:anchorId="7083528A" wp14:editId="250FD097">
            <wp:simplePos x="0" y="0"/>
            <wp:positionH relativeFrom="margin">
              <wp:align>left</wp:align>
            </wp:positionH>
            <wp:positionV relativeFrom="paragraph">
              <wp:posOffset>37465</wp:posOffset>
            </wp:positionV>
            <wp:extent cx="4425950" cy="2367280"/>
            <wp:effectExtent l="0" t="0" r="0" b="0"/>
            <wp:wrapTight wrapText="bothSides">
              <wp:wrapPolygon edited="0">
                <wp:start x="0" y="0"/>
                <wp:lineTo x="0" y="21380"/>
                <wp:lineTo x="21476" y="21380"/>
                <wp:lineTo x="21476" y="0"/>
                <wp:lineTo x="0" y="0"/>
              </wp:wrapPolygon>
            </wp:wrapTight>
            <wp:docPr id="15299679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67946" name=""/>
                    <pic:cNvPicPr/>
                  </pic:nvPicPr>
                  <pic:blipFill>
                    <a:blip r:embed="rId12">
                      <a:extLst>
                        <a:ext uri="{28A0092B-C50C-407E-A947-70E740481C1C}">
                          <a14:useLocalDpi xmlns:a14="http://schemas.microsoft.com/office/drawing/2010/main" val="0"/>
                        </a:ext>
                      </a:extLst>
                    </a:blip>
                    <a:stretch>
                      <a:fillRect/>
                    </a:stretch>
                  </pic:blipFill>
                  <pic:spPr>
                    <a:xfrm>
                      <a:off x="0" y="0"/>
                      <a:ext cx="4425950" cy="2367280"/>
                    </a:xfrm>
                    <a:prstGeom prst="rect">
                      <a:avLst/>
                    </a:prstGeom>
                  </pic:spPr>
                </pic:pic>
              </a:graphicData>
            </a:graphic>
            <wp14:sizeRelH relativeFrom="margin">
              <wp14:pctWidth>0</wp14:pctWidth>
            </wp14:sizeRelH>
            <wp14:sizeRelV relativeFrom="margin">
              <wp14:pctHeight>0</wp14:pctHeight>
            </wp14:sizeRelV>
          </wp:anchor>
        </w:drawing>
      </w:r>
    </w:p>
    <w:p w14:paraId="66E7AEA6" w14:textId="6CE18A19" w:rsidR="0075772C" w:rsidRDefault="0075772C" w:rsidP="0075772C">
      <w:pPr>
        <w:pStyle w:val="F2-zkladn"/>
      </w:pPr>
    </w:p>
    <w:p w14:paraId="3E38C527" w14:textId="4D781762" w:rsidR="0075772C" w:rsidRDefault="0075772C" w:rsidP="0075772C">
      <w:pPr>
        <w:pStyle w:val="F2-zkladn"/>
      </w:pPr>
    </w:p>
    <w:p w14:paraId="7519A2FA" w14:textId="65783715" w:rsidR="0075772C" w:rsidRDefault="0075772C" w:rsidP="0075772C">
      <w:pPr>
        <w:pStyle w:val="F2-zkladn"/>
      </w:pPr>
    </w:p>
    <w:p w14:paraId="3191355A" w14:textId="7FB23B24" w:rsidR="0075772C" w:rsidRDefault="0075772C" w:rsidP="0075772C">
      <w:pPr>
        <w:pStyle w:val="F2-zkladn"/>
      </w:pPr>
    </w:p>
    <w:p w14:paraId="026CE48E" w14:textId="4B8C7961" w:rsidR="0075772C" w:rsidRDefault="0075772C" w:rsidP="0075772C">
      <w:pPr>
        <w:pStyle w:val="F2-zkladn"/>
      </w:pPr>
    </w:p>
    <w:p w14:paraId="6931ADD9" w14:textId="6090AACD" w:rsidR="0075772C" w:rsidRPr="0075772C" w:rsidRDefault="0075772C" w:rsidP="0075772C">
      <w:pPr>
        <w:pStyle w:val="F2-zkladn"/>
      </w:pPr>
    </w:p>
    <w:p w14:paraId="6369B74C" w14:textId="77777777" w:rsidR="0075772C" w:rsidRDefault="0075772C" w:rsidP="005B1E37">
      <w:pPr>
        <w:rPr>
          <w:b/>
          <w:bCs/>
        </w:rPr>
      </w:pPr>
    </w:p>
    <w:p w14:paraId="7DF8755B" w14:textId="77777777" w:rsidR="00F45DE2" w:rsidRDefault="00F45DE2" w:rsidP="005B1E37">
      <w:pPr>
        <w:rPr>
          <w:b/>
          <w:bCs/>
        </w:rPr>
      </w:pPr>
    </w:p>
    <w:p w14:paraId="18353E14" w14:textId="63CB0129" w:rsidR="005B1E37" w:rsidRPr="0075772C" w:rsidRDefault="005B1E37" w:rsidP="005B1E37">
      <w:pPr>
        <w:rPr>
          <w:b/>
          <w:bCs/>
        </w:rPr>
      </w:pPr>
      <w:r w:rsidRPr="0075772C">
        <w:rPr>
          <w:b/>
          <w:bCs/>
        </w:rPr>
        <w:lastRenderedPageBreak/>
        <w:t>Zvládání tržních turbulencí pomocí ETF</w:t>
      </w:r>
      <w:r w:rsidRPr="0075772C">
        <w:rPr>
          <w:b/>
          <w:bCs/>
        </w:rPr>
        <w:tab/>
        <w:t xml:space="preserve"> </w:t>
      </w:r>
    </w:p>
    <w:p w14:paraId="4A4156E9" w14:textId="318A4A1C" w:rsidR="007561D8" w:rsidRDefault="005B1E37" w:rsidP="007561D8">
      <w:r w:rsidRPr="00730967">
        <w:t>Poučení p</w:t>
      </w:r>
      <w:r>
        <w:t>ro ty, co sledují trh</w:t>
      </w:r>
      <w:r w:rsidRPr="00730967">
        <w:t xml:space="preserve">: </w:t>
      </w:r>
      <w:r w:rsidRPr="00E34EC9">
        <w:rPr>
          <w:i/>
          <w:iCs/>
        </w:rPr>
        <w:t xml:space="preserve">„ETF jsou vhodným nástrojem, jestliže chceme reagovat na zvýšenou volatilitu trhu. 7. dubna, na vrcholu volatility vzniklé na "Den osvobození", tvořily ETF 42 % objemu obchodů na amerických burzách, zatímco v roce 2024 to bylo v průměru 27 %. Pouze během finanční krize v roce 2008 bylo toto číslo vyšší. V Evropě objem obchodů s ETF 7. dubna prudce vzrostl a rovnal se 3,8násobku denního průměru v roce 2024. </w:t>
      </w:r>
      <w:proofErr w:type="spellStart"/>
      <w:r w:rsidRPr="00E34EC9">
        <w:rPr>
          <w:i/>
          <w:iCs/>
        </w:rPr>
        <w:t>ETFka</w:t>
      </w:r>
      <w:proofErr w:type="spellEnd"/>
      <w:r w:rsidRPr="00E34EC9">
        <w:rPr>
          <w:i/>
          <w:iCs/>
        </w:rPr>
        <w:t xml:space="preserve"> v poslední době opět prokázaly výhody své vysoké likvidity. Umožňují rychlou úpravu portfolia, když je trh pod tlakem a potřebuje krátkodobě reagovat,"</w:t>
      </w:r>
      <w:r w:rsidRPr="00730967">
        <w:t xml:space="preserve"> </w:t>
      </w:r>
      <w:r>
        <w:t>uzavírá</w:t>
      </w:r>
      <w:r w:rsidRPr="00730967">
        <w:t xml:space="preserve"> </w:t>
      </w:r>
      <w:proofErr w:type="spellStart"/>
      <w:r w:rsidRPr="00730967">
        <w:t>Roxane</w:t>
      </w:r>
      <w:proofErr w:type="spellEnd"/>
      <w:r w:rsidRPr="00730967">
        <w:t xml:space="preserve"> </w:t>
      </w:r>
      <w:proofErr w:type="spellStart"/>
      <w:r w:rsidRPr="00730967">
        <w:t>Philibert</w:t>
      </w:r>
      <w:proofErr w:type="spellEnd"/>
      <w:r w:rsidRPr="00730967">
        <w:t>.</w:t>
      </w:r>
      <w:r>
        <w:tab/>
        <w:t xml:space="preserve"> </w:t>
      </w:r>
    </w:p>
    <w:p w14:paraId="6CECD3A4" w14:textId="7A2AB378" w:rsidR="00B61C27" w:rsidRDefault="00B61C27" w:rsidP="002027ED">
      <w:pPr>
        <w:spacing w:before="0" w:line="240" w:lineRule="atLeast"/>
        <w:rPr>
          <w:b/>
        </w:rPr>
      </w:pPr>
    </w:p>
    <w:p w14:paraId="562DDE79" w14:textId="77777777" w:rsidR="00B61C27" w:rsidRDefault="00B61C27" w:rsidP="002027ED">
      <w:pPr>
        <w:spacing w:before="0" w:line="240" w:lineRule="atLeast"/>
        <w:rPr>
          <w:b/>
        </w:rPr>
      </w:pPr>
    </w:p>
    <w:p w14:paraId="79C0EF45" w14:textId="54803995"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77FC7F1A" w:rsidR="00D20058" w:rsidRDefault="00AA52AD" w:rsidP="00AA52AD">
      <w:pPr>
        <w:pStyle w:val="F2-zkladn"/>
      </w:pPr>
      <w:r w:rsidRPr="00AA52AD">
        <w:t>MKAT13014</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6BC5" w14:textId="77777777" w:rsidR="003E2409" w:rsidRDefault="003E2409">
      <w:r>
        <w:separator/>
      </w:r>
    </w:p>
  </w:endnote>
  <w:endnote w:type="continuationSeparator" w:id="0">
    <w:p w14:paraId="6005108B" w14:textId="77777777" w:rsidR="003E2409" w:rsidRDefault="003E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457FE" w14:textId="77777777" w:rsidR="003E2409" w:rsidRDefault="003E2409">
      <w:r>
        <w:separator/>
      </w:r>
    </w:p>
  </w:footnote>
  <w:footnote w:type="continuationSeparator" w:id="0">
    <w:p w14:paraId="4322CD0E" w14:textId="77777777" w:rsidR="003E2409" w:rsidRDefault="003E2409">
      <w:r>
        <w:continuationSeparator/>
      </w:r>
    </w:p>
  </w:footnote>
  <w:footnote w:type="continuationNotice" w:id="1">
    <w:p w14:paraId="01224130" w14:textId="77777777" w:rsidR="003E2409" w:rsidRDefault="003E2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17F61"/>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473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843"/>
    <w:rsid w:val="000C0E0E"/>
    <w:rsid w:val="000C17C8"/>
    <w:rsid w:val="000C34DC"/>
    <w:rsid w:val="000C4D6D"/>
    <w:rsid w:val="000C5471"/>
    <w:rsid w:val="000C727D"/>
    <w:rsid w:val="000C772F"/>
    <w:rsid w:val="000D25CC"/>
    <w:rsid w:val="000D3C66"/>
    <w:rsid w:val="000D4381"/>
    <w:rsid w:val="000D5282"/>
    <w:rsid w:val="000D580F"/>
    <w:rsid w:val="000D6329"/>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382"/>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477E9"/>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9CF"/>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2D9E"/>
    <w:rsid w:val="002E3325"/>
    <w:rsid w:val="002E497E"/>
    <w:rsid w:val="002E754C"/>
    <w:rsid w:val="002E76D1"/>
    <w:rsid w:val="002F0500"/>
    <w:rsid w:val="002F1160"/>
    <w:rsid w:val="002F34D8"/>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C87"/>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567E"/>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1D29"/>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2409"/>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57F"/>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5C3"/>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5D7"/>
    <w:rsid w:val="004C5F47"/>
    <w:rsid w:val="004C7E96"/>
    <w:rsid w:val="004C7EA7"/>
    <w:rsid w:val="004D1014"/>
    <w:rsid w:val="004D352B"/>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1370"/>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1E37"/>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3F"/>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43A"/>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4C96"/>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483"/>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060F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0C00"/>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1D8"/>
    <w:rsid w:val="00756B91"/>
    <w:rsid w:val="0075772C"/>
    <w:rsid w:val="00757E96"/>
    <w:rsid w:val="00760A86"/>
    <w:rsid w:val="00761F5F"/>
    <w:rsid w:val="0076741B"/>
    <w:rsid w:val="00770C0E"/>
    <w:rsid w:val="00771D19"/>
    <w:rsid w:val="0077277F"/>
    <w:rsid w:val="00774584"/>
    <w:rsid w:val="007747BE"/>
    <w:rsid w:val="00776D13"/>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C7B01"/>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506"/>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0FC5"/>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3B09"/>
    <w:rsid w:val="008E4F5C"/>
    <w:rsid w:val="008E58BF"/>
    <w:rsid w:val="008F0512"/>
    <w:rsid w:val="008F1A81"/>
    <w:rsid w:val="008F2125"/>
    <w:rsid w:val="008F3B73"/>
    <w:rsid w:val="008F7D0D"/>
    <w:rsid w:val="00900CE5"/>
    <w:rsid w:val="00901E9B"/>
    <w:rsid w:val="00902C6A"/>
    <w:rsid w:val="0090415F"/>
    <w:rsid w:val="00904CA9"/>
    <w:rsid w:val="00905911"/>
    <w:rsid w:val="00905CD3"/>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273F"/>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A13"/>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6433"/>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1D5D"/>
    <w:rsid w:val="009E590F"/>
    <w:rsid w:val="009E6ACF"/>
    <w:rsid w:val="009F0C32"/>
    <w:rsid w:val="009F1649"/>
    <w:rsid w:val="009F461F"/>
    <w:rsid w:val="00A006D3"/>
    <w:rsid w:val="00A01305"/>
    <w:rsid w:val="00A01EEF"/>
    <w:rsid w:val="00A0259C"/>
    <w:rsid w:val="00A036CB"/>
    <w:rsid w:val="00A0546A"/>
    <w:rsid w:val="00A05EC0"/>
    <w:rsid w:val="00A061CA"/>
    <w:rsid w:val="00A066B3"/>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1F64"/>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A52AD"/>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0AC3"/>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C27"/>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07D2"/>
    <w:rsid w:val="00BA1692"/>
    <w:rsid w:val="00BA1BBA"/>
    <w:rsid w:val="00BA2267"/>
    <w:rsid w:val="00BA2E58"/>
    <w:rsid w:val="00BA3548"/>
    <w:rsid w:val="00BA3C49"/>
    <w:rsid w:val="00BA5315"/>
    <w:rsid w:val="00BA54F1"/>
    <w:rsid w:val="00BA7A87"/>
    <w:rsid w:val="00BA7C33"/>
    <w:rsid w:val="00BB07FC"/>
    <w:rsid w:val="00BB0B67"/>
    <w:rsid w:val="00BB2970"/>
    <w:rsid w:val="00BB79D6"/>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66FA"/>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05"/>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C6BA3"/>
    <w:rsid w:val="00DD0D69"/>
    <w:rsid w:val="00DD26E3"/>
    <w:rsid w:val="00DD4EF2"/>
    <w:rsid w:val="00DD5951"/>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4EC9"/>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464C"/>
    <w:rsid w:val="00E74B0F"/>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627B"/>
    <w:rsid w:val="00EC7556"/>
    <w:rsid w:val="00EC7A99"/>
    <w:rsid w:val="00ED086D"/>
    <w:rsid w:val="00ED0F0B"/>
    <w:rsid w:val="00ED1036"/>
    <w:rsid w:val="00ED2EBC"/>
    <w:rsid w:val="00ED3AF2"/>
    <w:rsid w:val="00ED4242"/>
    <w:rsid w:val="00ED4755"/>
    <w:rsid w:val="00ED562E"/>
    <w:rsid w:val="00ED584C"/>
    <w:rsid w:val="00ED6591"/>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06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5DE2"/>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67148"/>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6B8"/>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57944805">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01727387">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66214194">
      <w:bodyDiv w:val="1"/>
      <w:marLeft w:val="0"/>
      <w:marRight w:val="0"/>
      <w:marTop w:val="0"/>
      <w:marBottom w:val="0"/>
      <w:divBdr>
        <w:top w:val="none" w:sz="0" w:space="0" w:color="auto"/>
        <w:left w:val="none" w:sz="0" w:space="0" w:color="auto"/>
        <w:bottom w:val="none" w:sz="0" w:space="0" w:color="auto"/>
        <w:right w:val="none" w:sz="0" w:space="0" w:color="auto"/>
      </w:divBdr>
    </w:div>
    <w:div w:id="1175076442">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1035</Words>
  <Characters>6112</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7133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Pavlíčková</cp:lastModifiedBy>
  <cp:revision>33</cp:revision>
  <cp:lastPrinted>2015-11-30T16:29:00Z</cp:lastPrinted>
  <dcterms:created xsi:type="dcterms:W3CDTF">2025-05-16T07:55:00Z</dcterms:created>
  <dcterms:modified xsi:type="dcterms:W3CDTF">2025-05-20T10:03:00Z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